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暑假版-【悠游北京纯玩】 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jzx07028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★精品住宿：全国品质连锁酒店：格林豪泰酒店/7天/速8或同级
                <w:br/>
                ★贴心赠送6重大礼包价值580元：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常规系列-【悠游北京】
                <w:br/>
                行程特色    
                <w:br/>
                ★精华特色：0购物，0暗店，0自费，0景交（缆车除外），100%真纯玩，一价全含，不带钱包游京城
                <w:br/>
                ★精品住宿：全国品质连锁酒店：格林豪泰酒店/7天/速8或同级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5.住宿：全国连锁酒店  单房差600元 /人，全国品质连锁酒店。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2025-07-27T21:24:11+08:00</dcterms:created>
  <dcterms:modified xsi:type="dcterms:W3CDTF">2025-07-27T21:24:11+08:00</dcterms:modified>
</cp:coreProperties>
</file>

<file path=docProps/custom.xml><?xml version="1.0" encoding="utf-8"?>
<Properties xmlns="http://schemas.openxmlformats.org/officeDocument/2006/custom-properties" xmlns:vt="http://schemas.openxmlformats.org/officeDocument/2006/docPropsVTypes"/>
</file>